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ascii="方正小标宋简体" w:hAnsi="宋体" w:eastAsia="方正小标宋简体"/>
          <w:color w:val="FF0000"/>
          <w:sz w:val="96"/>
          <w:szCs w:val="66"/>
          <w:highlight w:val="none"/>
        </w:rPr>
      </w:pPr>
      <w:r>
        <w:rPr>
          <w:rFonts w:hint="eastAsia" w:ascii="方正小标宋简体" w:hAnsi="宋体" w:eastAsia="方正小标宋简体"/>
          <w:color w:val="FF0000"/>
          <w:sz w:val="96"/>
          <w:szCs w:val="66"/>
          <w:highlight w:val="none"/>
        </w:rPr>
        <w:t>中山大学化学学院</w:t>
      </w:r>
    </w:p>
    <w:p>
      <w:pPr>
        <w:spacing w:line="560" w:lineRule="atLeast"/>
        <w:ind w:right="70"/>
        <w:jc w:val="right"/>
        <w:rPr>
          <w:color w:val="auto"/>
          <w:sz w:val="28"/>
          <w:szCs w:val="28"/>
          <w:highlight w:val="none"/>
        </w:rPr>
      </w:pPr>
      <w:r>
        <w:rPr>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-229870</wp:posOffset>
                </wp:positionH>
                <wp:positionV relativeFrom="paragraph">
                  <wp:posOffset>5080</wp:posOffset>
                </wp:positionV>
                <wp:extent cx="6155055" cy="50800"/>
                <wp:effectExtent l="0" t="0" r="0" b="0"/>
                <wp:wrapNone/>
                <wp:docPr id="6" name="组合 6"/>
                <wp:cNvGraphicFramePr/>
                <a:graphic xmlns:a="http://schemas.openxmlformats.org/drawingml/2006/main">
                  <a:graphicData uri="http://schemas.microsoft.com/office/word/2010/wordprocessingGroup">
                    <wpg:wgp>
                      <wpg:cNvGrpSpPr/>
                      <wpg:grpSpPr>
                        <a:xfrm>
                          <a:off x="0" y="0"/>
                          <a:ext cx="6155055" cy="50800"/>
                          <a:chOff x="1238" y="3498"/>
                          <a:chExt cx="9693" cy="80"/>
                        </a:xfrm>
                        <a:effectLst/>
                      </wpg:grpSpPr>
                      <wps:wsp>
                        <wps:cNvPr id="7" name="Line 5"/>
                        <wps:cNvCnPr/>
                        <wps:spPr bwMode="auto">
                          <a:xfrm>
                            <a:off x="1238" y="3498"/>
                            <a:ext cx="9693" cy="0"/>
                          </a:xfrm>
                          <a:prstGeom prst="line">
                            <a:avLst/>
                          </a:prstGeom>
                          <a:noFill/>
                          <a:ln w="28575">
                            <a:solidFill>
                              <a:srgbClr val="FF0000"/>
                            </a:solidFill>
                            <a:round/>
                          </a:ln>
                          <a:effectLst/>
                        </wps:spPr>
                        <wps:bodyPr/>
                      </wps:wsp>
                      <wps:wsp>
                        <wps:cNvPr id="8" name="Line 6"/>
                        <wps:cNvCnPr/>
                        <wps:spPr bwMode="auto">
                          <a:xfrm>
                            <a:off x="1238" y="3578"/>
                            <a:ext cx="9693" cy="0"/>
                          </a:xfrm>
                          <a:prstGeom prst="line">
                            <a:avLst/>
                          </a:prstGeom>
                          <a:noFill/>
                          <a:ln w="9525">
                            <a:solidFill>
                              <a:srgbClr val="FF0000"/>
                            </a:solidFill>
                            <a:round/>
                          </a:ln>
                          <a:effectLst/>
                        </wps:spPr>
                        <wps:bodyPr/>
                      </wps:wsp>
                    </wpg:wgp>
                  </a:graphicData>
                </a:graphic>
              </wp:anchor>
            </w:drawing>
          </mc:Choice>
          <mc:Fallback>
            <w:pict>
              <v:group id="_x0000_s1026" o:spid="_x0000_s1026" o:spt="203" style="position:absolute;left:0pt;margin-left:-18.1pt;margin-top:0.4pt;height:4pt;width:484.65pt;z-index:251660288;mso-width-relative:page;mso-height-relative:page;" coordorigin="1238,3498" coordsize="9693,80" o:gfxdata="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l2Fa7WAAAABgEAAA8AAAAAAAAAAQAgAAAAIgAAAGRycy9kb3ducmV2LnhtbFBL&#10;AQIUABQAAAAIAIdO4kDBicdEMQIAAAwGAAAOAAAAAAAAAAEAIAAAACUBAABkcnMvZTJvRG9jLnht&#10;bFBLBQYAAAAABgAGAFkBAADIBQAAAAA=&#10;">
                <o:lock v:ext="edit" aspectratio="f"/>
                <v:line id="Line 5" o:spid="_x0000_s1026" o:spt="20" style="position:absolute;left:1238;top:3498;height:0;width:9693;" filled="f" stroked="t" coordsize="21600,21600" o:gfxdata="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oIVL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Line 6" o:spid="_x0000_s1026" o:spt="20" style="position:absolute;left:1238;top:3578;height:0;width:9693;" filled="f" stroked="t" coordsize="21600,21600" o:gfxdata="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loxm5AAAA2gAA&#10;AA8AAAAAAAAAAQAgAAAAIgAAAGRycy9kb3ducmV2LnhtbFBLAQIUABQAAAAIAIdO4kAzLwWeOwAA&#10;ADkAAAAQAAAAAAAAAAEAIAAAAAgBAABkcnMvc2hhcGV4bWwueG1sUEsFBgAAAAAGAAYAWwEAALID&#10;AAAAAA==&#10;">
                  <v:fill on="f" focussize="0,0"/>
                  <v:stroke color="#FF0000" joinstyle="round"/>
                  <v:imagedata o:title=""/>
                  <o:lock v:ext="edit" aspectratio="f"/>
                </v:line>
              </v:group>
            </w:pict>
          </mc:Fallback>
        </mc:AlternateContent>
      </w:r>
    </w:p>
    <w:p>
      <w:pPr>
        <w:kinsoku w:val="0"/>
        <w:overflowPunct w:val="0"/>
        <w:autoSpaceDE w:val="0"/>
        <w:autoSpaceDN w:val="0"/>
        <w:adjustRightInd w:val="0"/>
        <w:snapToGrid w:val="0"/>
        <w:spacing w:line="360" w:lineRule="auto"/>
        <w:ind w:firstLine="5440" w:firstLineChars="1700"/>
        <w:jc w:val="left"/>
        <w:rPr>
          <w:rFonts w:hint="eastAsia" w:ascii="仿宋" w:hAnsi="仿宋" w:eastAsia="仿宋" w:cs="Times New Roman"/>
          <w:color w:val="auto"/>
          <w:kern w:val="21"/>
          <w:sz w:val="32"/>
          <w:szCs w:val="28"/>
          <w:highlight w:val="none"/>
        </w:rPr>
      </w:pPr>
      <w:r>
        <w:rPr>
          <w:rFonts w:hint="eastAsia" w:ascii="仿宋" w:hAnsi="仿宋" w:eastAsia="仿宋" w:cs="Times New Roman"/>
          <w:color w:val="auto"/>
          <w:kern w:val="21"/>
          <w:sz w:val="32"/>
          <w:szCs w:val="28"/>
          <w:highlight w:val="none"/>
        </w:rPr>
        <w:t>化学﹝2020﹞</w:t>
      </w:r>
      <w:r>
        <w:rPr>
          <w:rFonts w:hint="eastAsia" w:ascii="仿宋" w:hAnsi="仿宋" w:eastAsia="仿宋" w:cs="Times New Roman"/>
          <w:color w:val="auto"/>
          <w:kern w:val="21"/>
          <w:sz w:val="32"/>
          <w:szCs w:val="28"/>
          <w:highlight w:val="none"/>
          <w:lang w:val="en-US" w:eastAsia="zh-CN"/>
        </w:rPr>
        <w:t>38</w:t>
      </w:r>
      <w:r>
        <w:rPr>
          <w:rFonts w:hint="eastAsia" w:ascii="仿宋" w:hAnsi="仿宋" w:eastAsia="仿宋" w:cs="Times New Roman"/>
          <w:color w:val="auto"/>
          <w:kern w:val="21"/>
          <w:sz w:val="32"/>
          <w:szCs w:val="28"/>
          <w:highlight w:val="none"/>
        </w:rPr>
        <w:t>号</w:t>
      </w:r>
    </w:p>
    <w:p>
      <w:pPr>
        <w:shd w:val="clear" w:color="auto" w:fill="FFFFFF"/>
        <w:spacing w:before="300" w:after="150"/>
        <w:jc w:val="center"/>
        <w:outlineLvl w:val="2"/>
        <w:rPr>
          <w:rFonts w:ascii="方正小标宋简体" w:hAnsi="微软雅黑" w:eastAsia="方正小标宋简体"/>
          <w:bCs/>
          <w:color w:val="auto"/>
          <w:sz w:val="44"/>
          <w:szCs w:val="44"/>
          <w:highlight w:val="none"/>
        </w:rPr>
      </w:pPr>
      <w:bookmarkStart w:id="2" w:name="_GoBack"/>
      <w:r>
        <w:rPr>
          <w:rFonts w:hint="eastAsia" w:ascii="方正小标宋简体" w:hAnsi="微软雅黑" w:eastAsia="方正小标宋简体"/>
          <w:bCs/>
          <w:color w:val="auto"/>
          <w:sz w:val="44"/>
          <w:szCs w:val="44"/>
          <w:highlight w:val="none"/>
        </w:rPr>
        <w:t>化学学院关于印发《</w:t>
      </w:r>
      <w:r>
        <w:rPr>
          <w:rFonts w:hint="eastAsia" w:ascii="方正小标宋简体" w:hAnsi="微软雅黑" w:eastAsia="方正小标宋简体" w:cs="Times New Roman"/>
          <w:bCs/>
          <w:color w:val="auto"/>
          <w:sz w:val="44"/>
          <w:szCs w:val="44"/>
          <w:highlight w:val="none"/>
        </w:rPr>
        <w:t>化学学院本科生全程导师制实施细则</w:t>
      </w:r>
      <w:r>
        <w:rPr>
          <w:rFonts w:hint="eastAsia" w:ascii="方正小标宋简体" w:hAnsi="微软雅黑" w:eastAsia="方正小标宋简体"/>
          <w:bCs/>
          <w:color w:val="auto"/>
          <w:sz w:val="44"/>
          <w:szCs w:val="44"/>
          <w:highlight w:val="none"/>
        </w:rPr>
        <w:t>》的通知</w:t>
      </w:r>
    </w:p>
    <w:bookmarkEnd w:id="2"/>
    <w:p>
      <w:pPr>
        <w:shd w:val="clear" w:color="auto" w:fill="FFFFFF"/>
        <w:spacing w:before="300" w:after="150" w:line="360" w:lineRule="auto"/>
        <w:outlineLvl w:val="2"/>
        <w:rPr>
          <w:rFonts w:ascii="微软雅黑" w:hAnsi="微软雅黑" w:eastAsia="微软雅黑" w:cs="微软雅黑"/>
          <w:bCs/>
          <w:color w:val="auto"/>
          <w:szCs w:val="32"/>
          <w:highlight w:val="none"/>
        </w:rPr>
      </w:pPr>
    </w:p>
    <w:p>
      <w:pPr>
        <w:adjustRightInd w:val="0"/>
        <w:snapToGrid w:val="0"/>
        <w:spacing w:line="360" w:lineRule="auto"/>
        <w:jc w:val="left"/>
        <w:rPr>
          <w:rFonts w:hint="eastAsia" w:ascii="仿宋" w:hAnsi="仿宋" w:eastAsia="仿宋" w:cs="Times New Roman"/>
          <w:color w:val="auto"/>
          <w:kern w:val="21"/>
          <w:sz w:val="32"/>
          <w:szCs w:val="28"/>
          <w:highlight w:val="none"/>
        </w:rPr>
      </w:pPr>
      <w:r>
        <w:rPr>
          <w:rFonts w:hint="eastAsia" w:ascii="仿宋" w:hAnsi="仿宋" w:eastAsia="仿宋" w:cs="Times New Roman"/>
          <w:color w:val="auto"/>
          <w:kern w:val="21"/>
          <w:sz w:val="32"/>
          <w:szCs w:val="28"/>
          <w:highlight w:val="none"/>
        </w:rPr>
        <w:t>院内各单位：</w:t>
      </w:r>
    </w:p>
    <w:p>
      <w:pPr>
        <w:adjustRightInd w:val="0"/>
        <w:snapToGrid w:val="0"/>
        <w:spacing w:line="360" w:lineRule="auto"/>
        <w:ind w:firstLine="640" w:firstLineChars="200"/>
        <w:jc w:val="left"/>
        <w:rPr>
          <w:rFonts w:hint="eastAsia" w:ascii="仿宋" w:hAnsi="仿宋" w:eastAsia="仿宋" w:cs="Times New Roman"/>
          <w:color w:val="auto"/>
          <w:kern w:val="21"/>
          <w:sz w:val="32"/>
          <w:szCs w:val="28"/>
          <w:highlight w:val="none"/>
        </w:rPr>
      </w:pPr>
      <w:r>
        <w:rPr>
          <w:rFonts w:hint="eastAsia" w:ascii="仿宋" w:hAnsi="仿宋" w:eastAsia="仿宋" w:cs="Times New Roman"/>
          <w:color w:val="auto"/>
          <w:kern w:val="21"/>
          <w:sz w:val="32"/>
          <w:szCs w:val="28"/>
          <w:highlight w:val="none"/>
        </w:rPr>
        <w:t>《化学学院本科生全程导师制实施细则》经学院党政联席会议审议通过，现予以公布，请遵照执行。</w:t>
      </w:r>
    </w:p>
    <w:p>
      <w:pPr>
        <w:adjustRightInd w:val="0"/>
        <w:snapToGrid w:val="0"/>
        <w:spacing w:line="360" w:lineRule="auto"/>
        <w:ind w:firstLine="640" w:firstLineChars="200"/>
        <w:jc w:val="left"/>
        <w:rPr>
          <w:rFonts w:hint="eastAsia" w:ascii="仿宋" w:hAnsi="仿宋" w:eastAsia="仿宋" w:cs="Times New Roman"/>
          <w:color w:val="auto"/>
          <w:kern w:val="21"/>
          <w:sz w:val="32"/>
          <w:szCs w:val="28"/>
          <w:highlight w:val="none"/>
        </w:rPr>
      </w:pPr>
    </w:p>
    <w:p>
      <w:pPr>
        <w:adjustRightInd w:val="0"/>
        <w:snapToGrid w:val="0"/>
        <w:spacing w:line="360" w:lineRule="auto"/>
        <w:ind w:firstLine="640" w:firstLineChars="200"/>
        <w:jc w:val="left"/>
        <w:rPr>
          <w:rFonts w:hint="eastAsia" w:ascii="仿宋" w:hAnsi="仿宋" w:eastAsia="仿宋" w:cs="Times New Roman"/>
          <w:color w:val="auto"/>
          <w:kern w:val="21"/>
          <w:sz w:val="32"/>
          <w:szCs w:val="28"/>
          <w:highlight w:val="none"/>
        </w:rPr>
      </w:pPr>
      <w:r>
        <w:rPr>
          <w:rFonts w:hint="eastAsia" w:ascii="仿宋" w:hAnsi="仿宋" w:eastAsia="仿宋" w:cs="Times New Roman"/>
          <w:color w:val="auto"/>
          <w:kern w:val="21"/>
          <w:sz w:val="32"/>
          <w:szCs w:val="28"/>
          <w:highlight w:val="none"/>
        </w:rPr>
        <w:t xml:space="preserve">                               化学学院</w:t>
      </w:r>
    </w:p>
    <w:p>
      <w:pPr>
        <w:adjustRightInd w:val="0"/>
        <w:snapToGrid w:val="0"/>
        <w:spacing w:line="360" w:lineRule="auto"/>
        <w:ind w:firstLine="640" w:firstLineChars="200"/>
        <w:jc w:val="left"/>
        <w:rPr>
          <w:rFonts w:hint="eastAsia" w:ascii="仿宋" w:hAnsi="仿宋" w:eastAsia="仿宋" w:cs="Times New Roman"/>
          <w:color w:val="auto"/>
          <w:kern w:val="21"/>
          <w:sz w:val="32"/>
          <w:szCs w:val="28"/>
          <w:highlight w:val="none"/>
        </w:rPr>
      </w:pPr>
      <w:r>
        <w:rPr>
          <w:rFonts w:hint="eastAsia" w:ascii="仿宋" w:hAnsi="仿宋" w:eastAsia="仿宋" w:cs="Times New Roman"/>
          <w:color w:val="auto"/>
          <w:kern w:val="21"/>
          <w:sz w:val="32"/>
          <w:szCs w:val="28"/>
          <w:highlight w:val="none"/>
        </w:rPr>
        <w:t xml:space="preserve">  </w:t>
      </w:r>
      <w:r>
        <w:rPr>
          <w:rFonts w:hint="eastAsia" w:ascii="仿宋" w:hAnsi="仿宋" w:eastAsia="仿宋" w:cs="Times New Roman"/>
          <w:color w:val="auto"/>
          <w:kern w:val="21"/>
          <w:sz w:val="32"/>
          <w:szCs w:val="28"/>
          <w:highlight w:val="none"/>
          <w:lang w:val="en-US" w:eastAsia="zh-CN"/>
        </w:rPr>
        <w:t xml:space="preserve">                         </w:t>
      </w:r>
      <w:r>
        <w:rPr>
          <w:rFonts w:hint="eastAsia" w:ascii="仿宋" w:hAnsi="仿宋" w:eastAsia="仿宋" w:cs="Times New Roman"/>
          <w:color w:val="auto"/>
          <w:kern w:val="21"/>
          <w:sz w:val="32"/>
          <w:szCs w:val="28"/>
          <w:highlight w:val="none"/>
        </w:rPr>
        <w:t>2020年</w:t>
      </w:r>
      <w:r>
        <w:rPr>
          <w:rFonts w:hint="eastAsia" w:ascii="仿宋" w:hAnsi="仿宋" w:eastAsia="仿宋" w:cs="Times New Roman"/>
          <w:color w:val="auto"/>
          <w:kern w:val="21"/>
          <w:sz w:val="32"/>
          <w:szCs w:val="28"/>
          <w:highlight w:val="none"/>
          <w:lang w:val="en-US" w:eastAsia="zh-CN"/>
        </w:rPr>
        <w:t>6</w:t>
      </w:r>
      <w:r>
        <w:rPr>
          <w:rFonts w:hint="eastAsia" w:ascii="仿宋" w:hAnsi="仿宋" w:eastAsia="仿宋" w:cs="Times New Roman"/>
          <w:color w:val="auto"/>
          <w:kern w:val="21"/>
          <w:sz w:val="32"/>
          <w:szCs w:val="28"/>
          <w:highlight w:val="none"/>
        </w:rPr>
        <w:t>月</w:t>
      </w:r>
      <w:r>
        <w:rPr>
          <w:rFonts w:hint="eastAsia" w:ascii="仿宋" w:hAnsi="仿宋" w:eastAsia="仿宋" w:cs="Times New Roman"/>
          <w:color w:val="auto"/>
          <w:kern w:val="21"/>
          <w:sz w:val="32"/>
          <w:szCs w:val="28"/>
          <w:highlight w:val="none"/>
          <w:lang w:val="en-US" w:eastAsia="zh-CN"/>
        </w:rPr>
        <w:t>18</w:t>
      </w:r>
      <w:r>
        <w:rPr>
          <w:rFonts w:hint="eastAsia" w:ascii="仿宋" w:hAnsi="仿宋" w:eastAsia="仿宋" w:cs="Times New Roman"/>
          <w:color w:val="auto"/>
          <w:kern w:val="21"/>
          <w:sz w:val="32"/>
          <w:szCs w:val="28"/>
          <w:highlight w:val="none"/>
        </w:rPr>
        <w:t xml:space="preserve">日 </w:t>
      </w:r>
    </w:p>
    <w:p>
      <w:pP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br w:type="page"/>
      </w:r>
    </w:p>
    <w:p>
      <w:pPr>
        <w:pStyle w:val="6"/>
        <w:jc w:val="center"/>
        <w:rPr>
          <w:rFonts w:hint="eastAsia" w:ascii="仿宋" w:hAnsi="仿宋" w:eastAsia="仿宋" w:cs="仿宋"/>
          <w:sz w:val="32"/>
          <w:szCs w:val="32"/>
        </w:rPr>
      </w:pPr>
      <w:r>
        <w:rPr>
          <w:rFonts w:hint="eastAsia" w:ascii="方正小标宋简体" w:hAnsi="微软雅黑" w:eastAsia="方正小标宋简体" w:cstheme="minorBidi"/>
          <w:bCs/>
          <w:color w:val="auto"/>
          <w:kern w:val="2"/>
          <w:sz w:val="44"/>
          <w:szCs w:val="44"/>
          <w:highlight w:val="none"/>
          <w:lang w:val="en-US" w:eastAsia="zh-CN" w:bidi="ar-SA"/>
        </w:rPr>
        <w:t>化学学院本科生全程导师制实施细则</w:t>
      </w:r>
    </w:p>
    <w:p>
      <w:pPr>
        <w:pStyle w:val="6"/>
        <w:ind w:firstLine="643" w:firstLineChars="200"/>
        <w:rPr>
          <w:rFonts w:hint="eastAsia" w:ascii="仿宋" w:hAnsi="仿宋" w:eastAsia="仿宋" w:cs="仿宋"/>
          <w:sz w:val="32"/>
          <w:szCs w:val="32"/>
        </w:rPr>
      </w:pP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为加强本科生专业教育，引导本科生明确发展目标，做好发展规划，切实培养德才兼备、具有领袖气质、家国情怀和国际视野的化学人才，化学学院本科生试行全程导师制。实施细则如下：</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一、</w:t>
      </w:r>
      <w:r>
        <w:rPr>
          <w:rFonts w:hint="default" w:ascii="Times New Roman" w:hAnsi="Times New Roman" w:eastAsia="仿宋_GB2312" w:cs="Times New Roman"/>
          <w:b/>
          <w:bCs/>
          <w:color w:val="000000"/>
          <w:sz w:val="32"/>
          <w:szCs w:val="32"/>
        </w:rPr>
        <w:t>全程导师的含义</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为帮助本科学生尽快熟悉化学专业学习规律，提高科研素养，做好学术发展和职业发展规划，学院选配导师对学生本科四年期间的专业学习全程给予指导。</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根据本科四年的学生成长规律和专业学习规律，学院</w:t>
      </w:r>
      <w:r>
        <w:rPr>
          <w:rFonts w:hint="eastAsia" w:ascii="Times New Roman" w:hAnsi="Times New Roman" w:eastAsia="仿宋_GB2312" w:cs="Times New Roman"/>
          <w:color w:val="000000"/>
          <w:sz w:val="32"/>
          <w:szCs w:val="32"/>
          <w:lang w:val="en-US" w:eastAsia="zh-CN"/>
        </w:rPr>
        <w:t>在大一起为每一位本科生选配一名导师。每学年开学后两周内，导师和学生均可根据实际需要，向学院提出指导学生人选或导师调整的申请。大四学年的导师同时是毕业论文指导老师</w:t>
      </w:r>
      <w:r>
        <w:rPr>
          <w:rFonts w:hint="default" w:ascii="Times New Roman" w:hAnsi="Times New Roman" w:eastAsia="仿宋_GB2312" w:cs="Times New Roman"/>
          <w:color w:val="000000"/>
          <w:sz w:val="32"/>
          <w:szCs w:val="32"/>
        </w:rPr>
        <w:t>。</w:t>
      </w:r>
    </w:p>
    <w:p>
      <w:pPr>
        <w:pStyle w:val="7"/>
        <w:keepNext w:val="0"/>
        <w:keepLines w:val="0"/>
        <w:pageBreakBefore w:val="0"/>
        <w:widowControl/>
        <w:numPr>
          <w:ilvl w:val="255"/>
          <w:numId w:val="0"/>
        </w:numPr>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进入拔尖培育基地班学习的本科生，全程导师应变更为拔尖培育基地班的导师。</w:t>
      </w:r>
    </w:p>
    <w:p>
      <w:pPr>
        <w:pStyle w:val="7"/>
        <w:keepNext w:val="0"/>
        <w:keepLines w:val="0"/>
        <w:pageBreakBefore w:val="0"/>
        <w:widowControl/>
        <w:numPr>
          <w:ilvl w:val="255"/>
          <w:numId w:val="0"/>
        </w:numPr>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（四）强基计划的本科生，按照强基计划本科生全程导师实施方案执行。</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Chars="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color w:val="000000"/>
          <w:sz w:val="32"/>
          <w:szCs w:val="32"/>
          <w:lang w:val="en-US" w:eastAsia="zh-CN"/>
        </w:rPr>
        <w:t>二、</w:t>
      </w:r>
      <w:r>
        <w:rPr>
          <w:rFonts w:hint="default" w:ascii="Times New Roman" w:hAnsi="Times New Roman" w:eastAsia="仿宋_GB2312" w:cs="Times New Roman"/>
          <w:b/>
          <w:bCs/>
          <w:color w:val="000000"/>
          <w:sz w:val="32"/>
          <w:szCs w:val="32"/>
        </w:rPr>
        <w:t>本科生全程导师选聘办法</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学院在编在岗教师均可担任本科生导师。</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学院在</w:t>
      </w:r>
      <w:r>
        <w:rPr>
          <w:rFonts w:hint="eastAsia" w:ascii="Times New Roman" w:hAnsi="Times New Roman" w:eastAsia="仿宋_GB2312" w:cs="Times New Roman"/>
          <w:color w:val="000000"/>
          <w:sz w:val="32"/>
          <w:szCs w:val="32"/>
          <w:lang w:val="en-US" w:eastAsia="zh-CN"/>
        </w:rPr>
        <w:t>每学年第一学期开学后两周内（新生在第一学期开学后4周内）完成</w:t>
      </w:r>
      <w:r>
        <w:rPr>
          <w:rFonts w:hint="default" w:ascii="Times New Roman" w:hAnsi="Times New Roman" w:eastAsia="仿宋_GB2312" w:cs="Times New Roman"/>
          <w:color w:val="000000"/>
          <w:sz w:val="32"/>
          <w:szCs w:val="32"/>
        </w:rPr>
        <w:t>学生全程导师选配。</w:t>
      </w:r>
      <w:r>
        <w:rPr>
          <w:rFonts w:hint="default" w:ascii="Times New Roman" w:hAnsi="Times New Roman" w:eastAsia="仿宋_GB2312" w:cs="Times New Roman"/>
          <w:sz w:val="32"/>
          <w:szCs w:val="32"/>
        </w:rPr>
        <w:t>无特殊情况的，导师不得中止导师工作，</w:t>
      </w:r>
      <w:r>
        <w:rPr>
          <w:rFonts w:hint="default" w:ascii="Times New Roman" w:hAnsi="Times New Roman" w:eastAsia="仿宋_GB2312" w:cs="Times New Roman"/>
          <w:color w:val="000000"/>
          <w:sz w:val="32"/>
          <w:szCs w:val="32"/>
        </w:rPr>
        <w:t>学生也不得随意更换导师。</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本科生与全程导师的集中选配，以师生双向选择方式确定，程序如下：</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学院提供导师信息（名单、研究方向、联系方式），在规定时间内，由学生自主联系导师。导师对学生情况进行了解，确定是否担任该学生的导师。导师确认后，在学生提交的《化学学院本科生导师申请表》上签名，再由学生将签名后的申请表学院。</w:t>
      </w:r>
      <w:r>
        <w:rPr>
          <w:rFonts w:hint="eastAsia" w:ascii="Times New Roman" w:hAnsi="Times New Roman" w:eastAsia="仿宋_GB2312" w:cs="Times New Roman"/>
          <w:color w:val="000000"/>
          <w:sz w:val="32"/>
          <w:szCs w:val="32"/>
          <w:lang w:val="en-US" w:eastAsia="zh-CN"/>
        </w:rPr>
        <w:t>如导师决定下一学年不再指导原来学生的，或学生决定下一学年重新选择导师的，均需在每学年第二学期结束前两周提交相关申请，并告知相应学生或老师，学院将协助和指导相应学生在该学年第一学期前两周内重新选配导师。</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每位导师指导同</w:t>
      </w:r>
      <w:r>
        <w:rPr>
          <w:rFonts w:hint="default" w:ascii="Times New Roman" w:hAnsi="Times New Roman" w:eastAsia="仿宋_GB2312" w:cs="Times New Roman"/>
          <w:color w:val="auto"/>
          <w:sz w:val="32"/>
          <w:szCs w:val="32"/>
          <w:highlight w:val="none"/>
        </w:rPr>
        <w:t>年级本科生不能超过2人，指导本科生总数不能超过6人。</w:t>
      </w:r>
    </w:p>
    <w:p>
      <w:pPr>
        <w:keepNext w:val="0"/>
        <w:keepLines w:val="0"/>
        <w:pageBreakBefore w:val="0"/>
        <w:kinsoku/>
        <w:wordWrap/>
        <w:overflowPunct/>
        <w:topLinePunct w:val="0"/>
        <w:autoSpaceDE/>
        <w:autoSpaceDN/>
        <w:bidi w:val="0"/>
        <w:adjustRightInd w:val="0"/>
        <w:snapToGrid w:val="0"/>
        <w:spacing w:afterAutospacing="0" w:line="360" w:lineRule="auto"/>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三、本科生全程导师基本职责与任务</w:t>
      </w:r>
    </w:p>
    <w:p>
      <w:pPr>
        <w:keepNext w:val="0"/>
        <w:keepLines w:val="0"/>
        <w:pageBreakBefore w:val="0"/>
        <w:kinsoku/>
        <w:wordWrap/>
        <w:overflowPunct/>
        <w:topLinePunct w:val="0"/>
        <w:autoSpaceDE/>
        <w:autoSpaceDN/>
        <w:bidi w:val="0"/>
        <w:adjustRightInd w:val="0"/>
        <w:snapToGrid w:val="0"/>
        <w:spacing w:afterAutospacing="0"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导师应了解所指导本科生的学习情况、学习态度、思想、性格、特长等，以培养能解决重大科学问题和国家重大战略需求的人才的培养目标，针对学生的特点因材施教，帮助学生树立</w:t>
      </w:r>
      <w:r>
        <w:rPr>
          <w:rStyle w:val="13"/>
          <w:rFonts w:hint="default" w:ascii="Times New Roman" w:hAnsi="Times New Roman" w:eastAsia="仿宋_GB2312" w:cs="Times New Roman"/>
          <w:sz w:val="32"/>
          <w:szCs w:val="32"/>
          <w:lang w:val="en-US" w:eastAsia="zh-CN"/>
        </w:rPr>
        <w:t>家国情怀、</w:t>
      </w:r>
      <w:r>
        <w:rPr>
          <w:rFonts w:hint="default" w:ascii="Times New Roman" w:hAnsi="Times New Roman" w:eastAsia="仿宋_GB2312" w:cs="Times New Roman"/>
          <w:sz w:val="32"/>
          <w:szCs w:val="32"/>
        </w:rPr>
        <w:t>团队精神、创新精神和终身学习的能力。</w:t>
      </w:r>
    </w:p>
    <w:p>
      <w:pPr>
        <w:keepNext w:val="0"/>
        <w:keepLines w:val="0"/>
        <w:pageBreakBefore w:val="0"/>
        <w:kinsoku/>
        <w:wordWrap/>
        <w:overflowPunct/>
        <w:topLinePunct w:val="0"/>
        <w:autoSpaceDE/>
        <w:autoSpaceDN/>
        <w:bidi w:val="0"/>
        <w:adjustRightInd w:val="0"/>
        <w:snapToGrid w:val="0"/>
        <w:spacing w:afterAutospacing="0"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结合自身研究方向，引导并培养学生开展科研实践的兴趣，引导学生建立职业使命感。</w:t>
      </w:r>
    </w:p>
    <w:p>
      <w:pPr>
        <w:keepNext w:val="0"/>
        <w:keepLines w:val="0"/>
        <w:pageBreakBefore w:val="0"/>
        <w:kinsoku/>
        <w:wordWrap/>
        <w:overflowPunct/>
        <w:topLinePunct w:val="0"/>
        <w:autoSpaceDE/>
        <w:autoSpaceDN/>
        <w:bidi w:val="0"/>
        <w:adjustRightInd w:val="0"/>
        <w:snapToGrid w:val="0"/>
        <w:spacing w:afterAutospacing="0" w:line="360" w:lineRule="auto"/>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对学生参加各类科研项目或学术竞赛给予专业指导，指导学生参与科研项目或进行学术论文撰写。鼓励导师指导和支持学生参与各种学术交流活动，尤其是国内、外高水平学术会议，学院将设立专门的资助本科生参加国内、外高水平学术会议的经费。需要资助的学生可向学院提交相关申请。</w:t>
      </w:r>
    </w:p>
    <w:p>
      <w:pPr>
        <w:keepNext w:val="0"/>
        <w:keepLines w:val="0"/>
        <w:pageBreakBefore w:val="0"/>
        <w:kinsoku/>
        <w:wordWrap/>
        <w:overflowPunct/>
        <w:topLinePunct w:val="0"/>
        <w:autoSpaceDE/>
        <w:autoSpaceDN/>
        <w:bidi w:val="0"/>
        <w:adjustRightInd w:val="0"/>
        <w:snapToGrid w:val="0"/>
        <w:spacing w:afterAutospacing="0" w:line="360" w:lineRule="auto"/>
        <w:ind w:left="0" w:firstLine="56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鼓励导师为所指导的本科生安排一名研究生协助开展相关工作，充分利用多种交流方式，对学生学习、生活、心理健康等进行积极的正面引导，对学生的疑问及时给予反馈。</w:t>
      </w:r>
    </w:p>
    <w:p>
      <w:pPr>
        <w:keepNext w:val="0"/>
        <w:keepLines w:val="0"/>
        <w:pageBreakBefore w:val="0"/>
        <w:kinsoku/>
        <w:wordWrap/>
        <w:overflowPunct/>
        <w:topLinePunct w:val="0"/>
        <w:autoSpaceDE/>
        <w:autoSpaceDN/>
        <w:bidi w:val="0"/>
        <w:adjustRightInd w:val="0"/>
        <w:snapToGrid w:val="0"/>
        <w:spacing w:afterAutospacing="0" w:line="360" w:lineRule="auto"/>
        <w:ind w:left="0" w:firstLine="56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导师应指导学生制订学习计划，为学生指出努力方向。根据工作指引要求，每学期至少与学生面谈2次，开学初（开学后两周内）、期中（期中考试结束后一周内），并在面谈后对学生情况做出书面评价，填写《化学学院本科生全程导师制——学业发展培养评价表》。</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四、学生基本要求与任务</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主动向导师汇报学习情况。每学期开学后两周内向导师书面汇报上学期考试成绩、学业进展和新学期学习计划，确定个人努力方向。期中考试结束后一周内向导师汇报上半学期学习情况，讨论学习计划完成情况、存在的问题和改进措施。其他时间视个人需要，可随时与导师联系。</w:t>
      </w:r>
    </w:p>
    <w:p>
      <w:pPr>
        <w:keepNext w:val="0"/>
        <w:keepLines w:val="0"/>
        <w:pageBreakBefore w:val="0"/>
        <w:kinsoku/>
        <w:wordWrap/>
        <w:overflowPunct/>
        <w:topLinePunct w:val="0"/>
        <w:autoSpaceDE/>
        <w:autoSpaceDN/>
        <w:bidi w:val="0"/>
        <w:adjustRightInd w:val="0"/>
        <w:snapToGrid w:val="0"/>
        <w:spacing w:afterAutospacing="0"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sz w:val="32"/>
          <w:szCs w:val="32"/>
        </w:rPr>
        <w:t>除了学习能力特别强的学生外，其余学生原则上第一、二学</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只参加导师课题组的组会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开展文献查阅、实验安全、实验基本技能等科研基础训练学习。之后视学生个人学习情况逐步深入开展科研实</w:t>
      </w:r>
      <w:r>
        <w:rPr>
          <w:rFonts w:hint="default" w:ascii="Times New Roman" w:hAnsi="Times New Roman" w:eastAsia="仿宋_GB2312" w:cs="Times New Roman"/>
          <w:color w:val="auto"/>
          <w:sz w:val="32"/>
          <w:szCs w:val="32"/>
        </w:rPr>
        <w:t>践训练。</w:t>
      </w:r>
      <w:r>
        <w:rPr>
          <w:rFonts w:hint="eastAsia" w:ascii="Times New Roman" w:hAnsi="Times New Roman" w:eastAsia="仿宋_GB2312" w:cs="Times New Roman"/>
          <w:color w:val="auto"/>
          <w:sz w:val="32"/>
          <w:szCs w:val="32"/>
          <w:lang w:val="en-US" w:eastAsia="zh-CN"/>
        </w:rPr>
        <w:t>第一</w:t>
      </w:r>
      <w:r>
        <w:rPr>
          <w:rFonts w:hint="default" w:ascii="Times New Roman" w:hAnsi="Times New Roman" w:eastAsia="仿宋_GB2312" w:cs="Times New Roman"/>
          <w:color w:val="auto"/>
          <w:sz w:val="32"/>
          <w:szCs w:val="32"/>
        </w:rPr>
        <w:t>学期</w:t>
      </w:r>
      <w:r>
        <w:rPr>
          <w:rFonts w:hint="eastAsia" w:ascii="Times New Roman" w:hAnsi="Times New Roman" w:eastAsia="仿宋_GB2312" w:cs="Times New Roman"/>
          <w:color w:val="auto"/>
          <w:sz w:val="32"/>
          <w:szCs w:val="32"/>
          <w:lang w:val="en-US" w:eastAsia="zh-CN"/>
        </w:rPr>
        <w:t>不强制</w:t>
      </w:r>
      <w:r>
        <w:rPr>
          <w:rFonts w:hint="default" w:ascii="Times New Roman" w:hAnsi="Times New Roman" w:eastAsia="仿宋_GB2312" w:cs="Times New Roman"/>
          <w:color w:val="auto"/>
          <w:sz w:val="32"/>
          <w:szCs w:val="32"/>
        </w:rPr>
        <w:t>参加导师课题组组会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从第二学期起，每学期至少参加导师课题组组会3次</w:t>
      </w:r>
      <w:r>
        <w:rPr>
          <w:rFonts w:hint="default" w:ascii="Times New Roman" w:hAnsi="Times New Roman" w:eastAsia="仿宋_GB2312" w:cs="Times New Roman"/>
          <w:color w:val="auto"/>
          <w:sz w:val="32"/>
          <w:szCs w:val="32"/>
        </w:rPr>
        <w:t>。从大二开始，每学期至少做一次文献阅读汇报。</w:t>
      </w:r>
    </w:p>
    <w:p>
      <w:pPr>
        <w:keepNext w:val="0"/>
        <w:keepLines w:val="0"/>
        <w:pageBreakBefore w:val="0"/>
        <w:kinsoku/>
        <w:wordWrap/>
        <w:overflowPunct/>
        <w:topLinePunct w:val="0"/>
        <w:autoSpaceDE/>
        <w:autoSpaceDN/>
        <w:bidi w:val="0"/>
        <w:adjustRightInd w:val="0"/>
        <w:snapToGrid w:val="0"/>
        <w:spacing w:afterAutospacing="0"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主动、认真地参与导师要求的各项学业活动，包括导师所在课题组的学术活动和讲座报告。拓展学科视野，了解学科前沿，努力培养和提升科研能力与创新思维。</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每学期开学后第三周周三前、第十二周周三前，以班为单位，由学习委员收集</w:t>
      </w:r>
      <w:r>
        <w:rPr>
          <w:rFonts w:hint="default" w:ascii="Times New Roman" w:hAnsi="Times New Roman" w:eastAsia="仿宋_GB2312" w:cs="Times New Roman"/>
          <w:sz w:val="32"/>
          <w:szCs w:val="32"/>
        </w:rPr>
        <w:t>《化学学院本科生全程导师制——学业发展培养评价表》</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000000"/>
          <w:sz w:val="32"/>
          <w:szCs w:val="32"/>
        </w:rPr>
        <w:t>相关材料，提交到学工办。</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56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每学期应完成的学习任务</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jc w:val="center"/>
        <w:textAlignment w:val="auto"/>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参与全程导师制本科生每学期学习任务</w:t>
      </w:r>
      <w:r>
        <w:rPr>
          <w:rFonts w:hint="eastAsia" w:ascii="Times New Roman" w:hAnsi="Times New Roman" w:eastAsia="仿宋_GB2312" w:cs="Times New Roman"/>
          <w:b/>
          <w:bCs/>
          <w:color w:val="auto"/>
          <w:sz w:val="32"/>
          <w:szCs w:val="32"/>
          <w:lang w:val="en-US" w:eastAsia="zh-CN"/>
        </w:rPr>
        <w:t>表</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2472"/>
        <w:gridCol w:w="1080"/>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应完成的项目</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具体指标</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必做/选做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实验技能</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自选1项</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必做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实验仪器</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自选1项</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必做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聆听学术报告</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每学期至少参加与专业相关的学术报告</w:t>
            </w:r>
            <w:r>
              <w:rPr>
                <w:rFonts w:hint="eastAsia" w:ascii="仿宋" w:hAnsi="仿宋" w:eastAsia="仿宋" w:cs="仿宋"/>
                <w:sz w:val="32"/>
                <w:szCs w:val="32"/>
                <w:lang w:val="en-US" w:eastAsia="zh-CN"/>
              </w:rPr>
              <w:t>2</w:t>
            </w:r>
            <w:r>
              <w:rPr>
                <w:rFonts w:hint="eastAsia" w:ascii="仿宋" w:hAnsi="仿宋" w:eastAsia="仿宋" w:cs="仿宋"/>
                <w:sz w:val="32"/>
                <w:szCs w:val="32"/>
              </w:rPr>
              <w:t>场次</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必做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参加学术组会</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按导师要求按时参加</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第一学期为选</w:t>
            </w:r>
            <w:r>
              <w:rPr>
                <w:rFonts w:hint="eastAsia" w:ascii="仿宋" w:hAnsi="仿宋" w:eastAsia="仿宋" w:cs="仿宋"/>
                <w:sz w:val="32"/>
                <w:szCs w:val="32"/>
              </w:rPr>
              <w:t>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w:t>
            </w:r>
            <w:r>
              <w:rPr>
                <w:rFonts w:hint="eastAsia" w:ascii="仿宋" w:hAnsi="仿宋" w:eastAsia="仿宋" w:cs="仿宋"/>
                <w:color w:val="auto"/>
                <w:sz w:val="32"/>
                <w:szCs w:val="32"/>
                <w:lang w:val="en-US" w:eastAsia="zh-CN"/>
              </w:rPr>
              <w:t>余</w:t>
            </w:r>
            <w:r>
              <w:rPr>
                <w:rFonts w:hint="eastAsia" w:ascii="仿宋" w:hAnsi="仿宋" w:eastAsia="仿宋" w:cs="仿宋"/>
                <w:color w:val="auto"/>
                <w:sz w:val="32"/>
                <w:szCs w:val="32"/>
              </w:rPr>
              <w:t>每学期</w:t>
            </w:r>
            <w:r>
              <w:rPr>
                <w:rFonts w:hint="eastAsia" w:ascii="仿宋" w:hAnsi="仿宋" w:eastAsia="仿宋" w:cs="仿宋"/>
                <w:color w:val="auto"/>
                <w:sz w:val="32"/>
                <w:szCs w:val="32"/>
                <w:lang w:val="en-US" w:eastAsia="zh-CN"/>
              </w:rPr>
              <w:t>不少于3次</w:t>
            </w:r>
            <w:r>
              <w:rPr>
                <w:rFonts w:hint="eastAsia" w:ascii="仿宋" w:hAnsi="仿宋" w:eastAsia="仿宋" w:cs="仿宋"/>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在组会上做文献调研报告</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每学期至少1次</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必做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第一学期为选</w:t>
            </w:r>
            <w:r>
              <w:rPr>
                <w:rFonts w:hint="eastAsia" w:ascii="仿宋" w:hAnsi="仿宋" w:eastAsia="仿宋" w:cs="仿宋"/>
                <w:sz w:val="32"/>
                <w:szCs w:val="32"/>
              </w:rPr>
              <w:t>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自主设计实验</w:t>
            </w:r>
          </w:p>
        </w:tc>
        <w:tc>
          <w:tcPr>
            <w:tcW w:w="247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在导师指导下确定课题，并完成。</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大一选做，</w:t>
            </w:r>
          </w:p>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大二选做，</w:t>
            </w:r>
          </w:p>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大三必做，</w:t>
            </w:r>
          </w:p>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大四必做</w:t>
            </w:r>
          </w:p>
        </w:tc>
        <w:tc>
          <w:tcPr>
            <w:tcW w:w="24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spacing w:afterAutospacing="0" w:line="360" w:lineRule="auto"/>
              <w:ind w:left="0"/>
              <w:textAlignment w:val="auto"/>
              <w:rPr>
                <w:rFonts w:hint="eastAsia" w:ascii="仿宋" w:hAnsi="仿宋" w:eastAsia="仿宋" w:cs="仿宋"/>
                <w:sz w:val="32"/>
                <w:szCs w:val="32"/>
              </w:rPr>
            </w:pPr>
            <w:r>
              <w:rPr>
                <w:rFonts w:hint="eastAsia" w:ascii="仿宋" w:hAnsi="仿宋" w:eastAsia="仿宋" w:cs="仿宋"/>
                <w:sz w:val="32"/>
                <w:szCs w:val="32"/>
              </w:rPr>
              <w:t>建议可开展：1</w:t>
            </w:r>
            <w:r>
              <w:rPr>
                <w:rFonts w:hint="eastAsia" w:ascii="仿宋" w:hAnsi="仿宋" w:eastAsia="仿宋" w:cs="仿宋"/>
                <w:sz w:val="32"/>
                <w:szCs w:val="32"/>
                <w:lang w:val="en-US" w:eastAsia="zh-CN"/>
              </w:rPr>
              <w:t>.</w:t>
            </w:r>
            <w:r>
              <w:rPr>
                <w:rFonts w:hint="eastAsia" w:ascii="仿宋" w:hAnsi="仿宋" w:eastAsia="仿宋" w:cs="仿宋"/>
                <w:sz w:val="32"/>
                <w:szCs w:val="32"/>
              </w:rPr>
              <w:t>与高年级学生组队申报学院/学校的大学生创新科研项目、实验室开放基金项目等</w:t>
            </w:r>
            <w:r>
              <w:rPr>
                <w:rFonts w:hint="eastAsia" w:ascii="仿宋" w:hAnsi="仿宋" w:eastAsia="仿宋" w:cs="仿宋"/>
                <w:sz w:val="32"/>
                <w:szCs w:val="32"/>
                <w:lang w:val="en-US" w:eastAsia="zh-CN"/>
              </w:rPr>
              <w:t>;2.</w:t>
            </w:r>
            <w:r>
              <w:rPr>
                <w:rFonts w:hint="eastAsia" w:ascii="仿宋" w:hAnsi="仿宋" w:eastAsia="仿宋" w:cs="仿宋"/>
                <w:sz w:val="32"/>
                <w:szCs w:val="32"/>
              </w:rPr>
              <w:t>参加从导师组科研项目中分离出的小课题研究</w:t>
            </w:r>
            <w:r>
              <w:rPr>
                <w:rFonts w:hint="eastAsia" w:ascii="仿宋" w:hAnsi="仿宋" w:eastAsia="仿宋" w:cs="仿宋"/>
                <w:sz w:val="32"/>
                <w:szCs w:val="32"/>
                <w:lang w:val="en-US" w:eastAsia="zh-CN"/>
              </w:rPr>
              <w:t>;3.</w:t>
            </w:r>
            <w:r>
              <w:rPr>
                <w:rFonts w:hint="eastAsia" w:ascii="仿宋" w:hAnsi="仿宋" w:eastAsia="仿宋" w:cs="仿宋"/>
                <w:sz w:val="32"/>
                <w:szCs w:val="32"/>
              </w:rPr>
              <w:t>参加各类竞赛</w:t>
            </w:r>
            <w:r>
              <w:rPr>
                <w:rFonts w:hint="eastAsia" w:ascii="仿宋" w:hAnsi="仿宋" w:eastAsia="仿宋" w:cs="仿宋"/>
                <w:color w:val="auto"/>
                <w:sz w:val="32"/>
                <w:szCs w:val="32"/>
              </w:rPr>
              <w:t>活动，如实验技能竞赛</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毕业论文</w:t>
            </w:r>
          </w:p>
        </w:tc>
      </w:tr>
    </w:tbl>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textAlignment w:val="auto"/>
        <w:rPr>
          <w:rFonts w:hint="eastAsia" w:ascii="仿宋" w:hAnsi="仿宋" w:eastAsia="仿宋" w:cs="仿宋"/>
          <w:color w:val="000000"/>
          <w:sz w:val="32"/>
          <w:szCs w:val="32"/>
        </w:rPr>
      </w:pP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五、支持措施与监督评估办法</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导师指导工作学年考</w:t>
      </w:r>
      <w:r>
        <w:rPr>
          <w:rFonts w:hint="default" w:ascii="Times New Roman" w:hAnsi="Times New Roman" w:eastAsia="仿宋_GB2312" w:cs="Times New Roman"/>
          <w:color w:val="auto"/>
          <w:sz w:val="32"/>
          <w:szCs w:val="32"/>
        </w:rPr>
        <w:t>核合格的，工作量按</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学时/(生·学</w:t>
      </w:r>
      <w:r>
        <w:rPr>
          <w:rFonts w:hint="eastAsia" w:ascii="Times New Roman" w:hAnsi="Times New Roman" w:eastAsia="仿宋_GB2312" w:cs="Times New Roman"/>
          <w:color w:val="auto"/>
          <w:sz w:val="32"/>
          <w:szCs w:val="32"/>
          <w:lang w:val="en-US" w:eastAsia="zh-CN"/>
        </w:rPr>
        <w:t>期</w:t>
      </w:r>
      <w:r>
        <w:rPr>
          <w:rFonts w:hint="default" w:ascii="Times New Roman" w:hAnsi="Times New Roman" w:eastAsia="仿宋_GB2312" w:cs="Times New Roman"/>
          <w:color w:val="auto"/>
          <w:sz w:val="32"/>
          <w:szCs w:val="32"/>
        </w:rPr>
        <w:t>)计算。</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56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学生毕业后，凡升学至国内、国际学科排名在我院之前的高校，或者</w:t>
      </w:r>
      <w:r>
        <w:rPr>
          <w:rFonts w:hint="default" w:ascii="Times New Roman" w:hAnsi="Times New Roman" w:eastAsia="仿宋_GB2312" w:cs="Times New Roman"/>
          <w:color w:val="auto"/>
          <w:sz w:val="32"/>
          <w:szCs w:val="32"/>
          <w:lang w:val="en-US" w:eastAsia="zh-CN"/>
        </w:rPr>
        <w:t>获得优秀本科毕业生称号的</w:t>
      </w:r>
      <w:r>
        <w:rPr>
          <w:rFonts w:hint="default" w:ascii="Times New Roman" w:hAnsi="Times New Roman" w:eastAsia="仿宋_GB2312" w:cs="Times New Roman"/>
          <w:color w:val="auto"/>
          <w:sz w:val="32"/>
          <w:szCs w:val="32"/>
        </w:rPr>
        <w:t>，学院对导师绩效奖励。</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学院将设立</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化学学院本科生全程导师督导组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，教学副院长、副书记任组长，组员</w:t>
      </w:r>
      <w:r>
        <w:rPr>
          <w:rFonts w:hint="default" w:ascii="Times New Roman" w:hAnsi="Times New Roman" w:eastAsia="仿宋_GB2312" w:cs="Times New Roman"/>
          <w:color w:val="000000"/>
          <w:sz w:val="32"/>
          <w:szCs w:val="32"/>
          <w:lang w:val="en-US" w:eastAsia="zh-CN"/>
        </w:rPr>
        <w:t>以辅导员和班主任为主，</w:t>
      </w:r>
      <w:r>
        <w:rPr>
          <w:rFonts w:hint="default" w:ascii="Times New Roman" w:hAnsi="Times New Roman" w:eastAsia="仿宋_GB2312" w:cs="Times New Roman"/>
          <w:color w:val="000000"/>
          <w:sz w:val="32"/>
          <w:szCs w:val="32"/>
        </w:rPr>
        <w:t>负责该项目的策划、执行、监督、反馈和评价工作。</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化学学院本科生全程导师督导组每学年对导师工作质量给与评估。以</w:t>
      </w:r>
      <w:r>
        <w:rPr>
          <w:rFonts w:hint="default" w:ascii="Times New Roman" w:hAnsi="Times New Roman" w:eastAsia="仿宋_GB2312" w:cs="Times New Roman"/>
          <w:sz w:val="32"/>
          <w:szCs w:val="32"/>
        </w:rPr>
        <w:t>《化学学院本科生全程导师制——学业发展培养评价表》为基本依据，</w:t>
      </w:r>
      <w:r>
        <w:rPr>
          <w:rFonts w:hint="default" w:ascii="Times New Roman" w:hAnsi="Times New Roman" w:eastAsia="仿宋_GB2312" w:cs="Times New Roman"/>
          <w:color w:val="000000"/>
          <w:sz w:val="32"/>
          <w:szCs w:val="32"/>
        </w:rPr>
        <w:t>评估包含导师与学生交流的情况（包括交流的次数、内容、形式、氛围等），导师是否帮助学生解决了一些实际问题（如学业困惑、专业思想问题等），导师是否给学生提供了一些资源（参与科研实践、参加各类学术会议等机会）。</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rPr>
        <w:t>学生参加情况考核合格的，除了在综合测评中业余科研加分中体</w:t>
      </w:r>
      <w:r>
        <w:rPr>
          <w:rFonts w:hint="default" w:ascii="Times New Roman" w:hAnsi="Times New Roman" w:eastAsia="仿宋_GB2312" w:cs="Times New Roman"/>
          <w:color w:val="auto"/>
          <w:sz w:val="32"/>
          <w:szCs w:val="32"/>
        </w:rPr>
        <w:t>现外，可申请《</w:t>
      </w:r>
      <w:r>
        <w:rPr>
          <w:rFonts w:hint="eastAsia" w:ascii="Times New Roman" w:hAnsi="Times New Roman" w:eastAsia="仿宋_GB2312" w:cs="Times New Roman"/>
          <w:color w:val="auto"/>
          <w:sz w:val="32"/>
          <w:szCs w:val="32"/>
          <w:lang w:val="en-US" w:eastAsia="zh-CN"/>
        </w:rPr>
        <w:t>科研训练</w:t>
      </w:r>
      <w:r>
        <w:rPr>
          <w:rFonts w:hint="default" w:ascii="Times New Roman" w:hAnsi="Times New Roman" w:eastAsia="仿宋_GB2312" w:cs="Times New Roman"/>
          <w:color w:val="auto"/>
          <w:sz w:val="32"/>
          <w:szCs w:val="32"/>
        </w:rPr>
        <w:t>》课程学分。同时把学生参与全程导</w:t>
      </w:r>
      <w:r>
        <w:rPr>
          <w:rFonts w:hint="default" w:ascii="Times New Roman" w:hAnsi="Times New Roman" w:eastAsia="仿宋_GB2312" w:cs="Times New Roman"/>
          <w:color w:val="000000"/>
          <w:sz w:val="32"/>
          <w:szCs w:val="32"/>
        </w:rPr>
        <w:t>师情况列为学生评价的重要参考依据之一。</w:t>
      </w:r>
    </w:p>
    <w:p>
      <w:pPr>
        <w:pStyle w:val="7"/>
        <w:keepNext w:val="0"/>
        <w:keepLines w:val="0"/>
        <w:pageBreakBefore w:val="0"/>
        <w:widowControl/>
        <w:numPr>
          <w:ilvl w:val="255"/>
          <w:numId w:val="0"/>
        </w:numPr>
        <w:kinsoku/>
        <w:wordWrap/>
        <w:overflowPunct/>
        <w:topLinePunct w:val="0"/>
        <w:autoSpaceDE/>
        <w:autoSpaceDN/>
        <w:bidi w:val="0"/>
        <w:adjustRightInd w:val="0"/>
        <w:snapToGrid w:val="0"/>
        <w:spacing w:before="0" w:beforeAutospacing="0" w:after="0" w:afterAutospacing="0" w:line="360" w:lineRule="auto"/>
        <w:ind w:left="0"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val="0"/>
          <w:bCs w:val="0"/>
          <w:color w:val="000000"/>
          <w:sz w:val="32"/>
          <w:szCs w:val="32"/>
        </w:rPr>
        <w:t>六、本院本科生全程导师制相关规定由“化学学院本科生全程导师督导组”负责制定并解释。由学生工作部负责具体</w:t>
      </w:r>
      <w:r>
        <w:rPr>
          <w:rFonts w:hint="eastAsia" w:ascii="Times New Roman" w:hAnsi="Times New Roman" w:eastAsia="仿宋_GB2312" w:cs="Times New Roman"/>
          <w:b w:val="0"/>
          <w:bCs w:val="0"/>
          <w:color w:val="000000"/>
          <w:sz w:val="32"/>
          <w:szCs w:val="32"/>
          <w:lang w:val="en-US" w:eastAsia="zh-CN"/>
        </w:rPr>
        <w:t>实施工</w:t>
      </w:r>
      <w:r>
        <w:rPr>
          <w:rFonts w:hint="default" w:ascii="Times New Roman" w:hAnsi="Times New Roman" w:eastAsia="仿宋_GB2312" w:cs="Times New Roman"/>
          <w:b w:val="0"/>
          <w:bCs w:val="0"/>
          <w:color w:val="000000"/>
          <w:sz w:val="32"/>
          <w:szCs w:val="32"/>
        </w:rPr>
        <w:t>作。</w:t>
      </w:r>
    </w:p>
    <w:p>
      <w:pPr>
        <w:pStyle w:val="7"/>
        <w:spacing w:before="0" w:beforeAutospacing="0" w:after="0" w:afterAutospacing="0" w:line="480" w:lineRule="atLeast"/>
        <w:ind w:firstLine="645"/>
        <w:jc w:val="both"/>
        <w:rPr>
          <w:rFonts w:ascii="仿宋" w:hAnsi="仿宋" w:eastAsia="仿宋" w:cs="仿宋"/>
          <w:b/>
          <w:bCs/>
          <w:color w:val="auto"/>
          <w:sz w:val="32"/>
          <w:szCs w:val="32"/>
          <w:highlight w:val="none"/>
        </w:rPr>
      </w:pPr>
      <w:r>
        <w:rPr>
          <w:rFonts w:hint="default" w:ascii="Times New Roman" w:hAnsi="Times New Roman" w:eastAsia="仿宋_GB2312" w:cs="Times New Roman"/>
          <w:b/>
          <w:bCs/>
          <w:color w:val="auto"/>
          <w:sz w:val="32"/>
          <w:szCs w:val="32"/>
        </w:rPr>
        <w:t>七、本办法自发布之日起</w:t>
      </w:r>
      <w:r>
        <w:rPr>
          <w:rFonts w:hint="eastAsia" w:ascii="Times New Roman" w:hAnsi="Times New Roman" w:eastAsia="仿宋_GB2312" w:cs="Times New Roman"/>
          <w:b/>
          <w:bCs/>
          <w:color w:val="auto"/>
          <w:sz w:val="32"/>
          <w:szCs w:val="32"/>
          <w:lang w:val="en-US" w:eastAsia="zh-CN"/>
        </w:rPr>
        <w:t>在2019级之后年级</w:t>
      </w:r>
      <w:r>
        <w:rPr>
          <w:rFonts w:hint="default" w:ascii="Times New Roman" w:hAnsi="Times New Roman" w:eastAsia="仿宋_GB2312" w:cs="Times New Roman"/>
          <w:b/>
          <w:bCs/>
          <w:color w:val="auto"/>
          <w:sz w:val="32"/>
          <w:szCs w:val="32"/>
        </w:rPr>
        <w:t>执行</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val="en-US" w:eastAsia="zh-CN"/>
        </w:rPr>
        <w:t>其他年级仍按原实施细则执行</w:t>
      </w:r>
      <w:r>
        <w:rPr>
          <w:rFonts w:hint="default" w:ascii="Times New Roman" w:hAnsi="Times New Roman" w:eastAsia="仿宋_GB2312" w:cs="Times New Roman"/>
          <w:b/>
          <w:bCs/>
          <w:color w:val="auto"/>
          <w:sz w:val="32"/>
          <w:szCs w:val="32"/>
        </w:rPr>
        <w:t>。</w:t>
      </w:r>
    </w:p>
    <w:p>
      <w:pPr>
        <w:pStyle w:val="7"/>
        <w:spacing w:before="0" w:beforeAutospacing="0" w:after="0" w:afterAutospacing="0" w:line="480" w:lineRule="atLeast"/>
        <w:ind w:firstLine="645"/>
        <w:jc w:val="both"/>
        <w:rPr>
          <w:rFonts w:hint="eastAsia" w:ascii="仿宋" w:hAnsi="仿宋" w:eastAsia="仿宋" w:cs="仿宋"/>
          <w:b/>
          <w:bCs/>
          <w:color w:val="auto"/>
          <w:sz w:val="32"/>
          <w:szCs w:val="32"/>
          <w:highlight w:val="none"/>
        </w:rPr>
      </w:pPr>
      <w:r>
        <w:rPr>
          <w:rStyle w:val="12"/>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本办法经学院党政联席讨论通过，自公布之日起施行。</w:t>
      </w:r>
    </w:p>
    <w:p>
      <w:pPr>
        <w:pStyle w:val="7"/>
        <w:spacing w:before="0" w:beforeAutospacing="0" w:after="0" w:afterAutospacing="0" w:line="480" w:lineRule="atLeast"/>
        <w:ind w:firstLine="645"/>
        <w:jc w:val="both"/>
        <w:rPr>
          <w:rFonts w:hint="eastAsia" w:ascii="仿宋" w:hAnsi="仿宋" w:eastAsia="仿宋" w:cs="仿宋"/>
          <w:b/>
          <w:bCs/>
          <w:color w:val="auto"/>
          <w:sz w:val="32"/>
          <w:szCs w:val="32"/>
          <w:highlight w:val="none"/>
        </w:rPr>
      </w:pPr>
    </w:p>
    <w:p>
      <w:pPr>
        <w:pStyle w:val="7"/>
        <w:spacing w:before="0" w:beforeAutospacing="0" w:after="0" w:afterAutospacing="0" w:line="480" w:lineRule="atLeast"/>
        <w:ind w:firstLine="645"/>
        <w:jc w:val="both"/>
        <w:rPr>
          <w:rFonts w:hint="eastAsia" w:ascii="仿宋" w:hAnsi="仿宋" w:eastAsia="仿宋" w:cs="仿宋"/>
          <w:b/>
          <w:bCs/>
          <w:color w:val="auto"/>
          <w:sz w:val="32"/>
          <w:szCs w:val="32"/>
          <w:highlight w:val="none"/>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：全程导师制学业发展培养评价表</w:t>
      </w: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pStyle w:val="7"/>
        <w:spacing w:before="0" w:beforeAutospacing="0" w:after="0" w:afterAutospacing="0" w:line="480" w:lineRule="atLeast"/>
        <w:jc w:val="both"/>
        <w:rPr>
          <w:rFonts w:ascii="inherit" w:hAnsi="inherit" w:cs="Segoe UI"/>
          <w:color w:val="auto"/>
          <w:sz w:val="21"/>
          <w:szCs w:val="21"/>
          <w:highlight w:val="none"/>
        </w:rPr>
      </w:pPr>
    </w:p>
    <w:p>
      <w:pPr>
        <w:adjustRightInd w:val="0"/>
        <w:snapToGrid w:val="0"/>
        <w:spacing w:line="540" w:lineRule="atLeast"/>
        <w:ind w:right="624" w:firstLine="645"/>
        <w:jc w:val="right"/>
        <w:rPr>
          <w:rFonts w:ascii="仿宋" w:hAnsi="仿宋" w:eastAsia="仿宋" w:cs="仿宋"/>
          <w:kern w:val="0"/>
          <w:sz w:val="32"/>
          <w:szCs w:val="32"/>
        </w:rPr>
      </w:pPr>
      <w:bookmarkStart w:id="0" w:name="OLE_LINK2"/>
      <w:bookmarkStart w:id="1" w:name="OLE_LINK1"/>
    </w:p>
    <w:p>
      <w:pPr>
        <w:pBdr>
          <w:top w:val="single" w:color="auto" w:sz="4" w:space="0"/>
          <w:bottom w:val="single" w:color="auto" w:sz="4" w:space="1"/>
          <w:between w:val="single" w:color="auto" w:sz="4" w:space="1"/>
        </w:pBdr>
        <w:adjustRightInd w:val="0"/>
        <w:snapToGrid w:val="0"/>
        <w:spacing w:line="540" w:lineRule="atLeast"/>
        <w:ind w:firstLine="320" w:firstLineChars="100"/>
        <w:jc w:val="left"/>
        <w:rPr>
          <w:rFonts w:ascii="仿宋" w:hAnsi="仿宋" w:eastAsia="仿宋" w:cs="仿宋"/>
          <w:kern w:val="0"/>
          <w:sz w:val="32"/>
          <w:szCs w:val="32"/>
        </w:rPr>
      </w:pPr>
      <w:r>
        <w:rPr>
          <w:rFonts w:hint="eastAsia" w:ascii="仿宋" w:hAnsi="仿宋" w:eastAsia="仿宋" w:cs="仿宋"/>
          <w:kern w:val="0"/>
          <w:sz w:val="32"/>
          <w:szCs w:val="32"/>
        </w:rPr>
        <w:t>中山大学化学学院</w:t>
      </w:r>
      <w:r>
        <w:rPr>
          <w:rFonts w:ascii="仿宋" w:hAnsi="仿宋" w:eastAsia="仿宋" w:cs="仿宋"/>
          <w:kern w:val="0"/>
          <w:sz w:val="32"/>
          <w:szCs w:val="32"/>
        </w:rPr>
        <w:t xml:space="preserve">  </w:t>
      </w: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w:t>
      </w: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2020</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日印发</w:t>
      </w:r>
      <w:bookmarkEnd w:id="0"/>
      <w:bookmarkEnd w:id="1"/>
    </w:p>
    <w:p>
      <w:pPr>
        <w:pStyle w:val="7"/>
        <w:spacing w:before="0" w:beforeAutospacing="0" w:after="0" w:afterAutospacing="0" w:line="480" w:lineRule="atLeast"/>
        <w:ind w:firstLine="645"/>
        <w:jc w:val="both"/>
        <w:rPr>
          <w:rFonts w:hint="eastAsia" w:ascii="Segoe UI" w:hAnsi="Segoe UI" w:cs="Segoe UI"/>
          <w:color w:val="auto"/>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2FF" w:usb1="420024FF" w:usb2="00000000" w:usb3="00000000" w:csb0="2000019F" w:csb1="00000000"/>
  </w:font>
  <w:font w:name="inherit">
    <w:altName w:val="Cambria"/>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DD"/>
    <w:rsid w:val="00017102"/>
    <w:rsid w:val="00077F21"/>
    <w:rsid w:val="000A383A"/>
    <w:rsid w:val="000B4C20"/>
    <w:rsid w:val="000D301F"/>
    <w:rsid w:val="000D58F5"/>
    <w:rsid w:val="000F7F83"/>
    <w:rsid w:val="001269CC"/>
    <w:rsid w:val="001301DB"/>
    <w:rsid w:val="001A1F55"/>
    <w:rsid w:val="001B251F"/>
    <w:rsid w:val="001D0E41"/>
    <w:rsid w:val="001E29D1"/>
    <w:rsid w:val="00213BF5"/>
    <w:rsid w:val="002334C6"/>
    <w:rsid w:val="00246926"/>
    <w:rsid w:val="002470C5"/>
    <w:rsid w:val="00256996"/>
    <w:rsid w:val="002909F6"/>
    <w:rsid w:val="00292B07"/>
    <w:rsid w:val="002A19D6"/>
    <w:rsid w:val="002C7DDD"/>
    <w:rsid w:val="002F2085"/>
    <w:rsid w:val="003448CD"/>
    <w:rsid w:val="00387F48"/>
    <w:rsid w:val="0039213E"/>
    <w:rsid w:val="003C158D"/>
    <w:rsid w:val="003E2F63"/>
    <w:rsid w:val="003E4E1B"/>
    <w:rsid w:val="00445457"/>
    <w:rsid w:val="004560CD"/>
    <w:rsid w:val="00504AA5"/>
    <w:rsid w:val="00524F57"/>
    <w:rsid w:val="0052512B"/>
    <w:rsid w:val="00547180"/>
    <w:rsid w:val="00574EE8"/>
    <w:rsid w:val="0057657E"/>
    <w:rsid w:val="005E5645"/>
    <w:rsid w:val="006319AF"/>
    <w:rsid w:val="00653CCF"/>
    <w:rsid w:val="00661502"/>
    <w:rsid w:val="0068060A"/>
    <w:rsid w:val="006A03E3"/>
    <w:rsid w:val="006B3285"/>
    <w:rsid w:val="006D4576"/>
    <w:rsid w:val="006E3CA1"/>
    <w:rsid w:val="00722286"/>
    <w:rsid w:val="00727840"/>
    <w:rsid w:val="00756BBF"/>
    <w:rsid w:val="007659DB"/>
    <w:rsid w:val="007929EA"/>
    <w:rsid w:val="007B000E"/>
    <w:rsid w:val="007B07E1"/>
    <w:rsid w:val="007F6E36"/>
    <w:rsid w:val="008A3917"/>
    <w:rsid w:val="008C78DC"/>
    <w:rsid w:val="008F550A"/>
    <w:rsid w:val="00901400"/>
    <w:rsid w:val="009134E5"/>
    <w:rsid w:val="00927E54"/>
    <w:rsid w:val="0096314D"/>
    <w:rsid w:val="009850A7"/>
    <w:rsid w:val="00996F90"/>
    <w:rsid w:val="009C61E7"/>
    <w:rsid w:val="009E5902"/>
    <w:rsid w:val="00AA1FC5"/>
    <w:rsid w:val="00AB5017"/>
    <w:rsid w:val="00AF0AAB"/>
    <w:rsid w:val="00AF452A"/>
    <w:rsid w:val="00AF4918"/>
    <w:rsid w:val="00B0141F"/>
    <w:rsid w:val="00B9149D"/>
    <w:rsid w:val="00C01C35"/>
    <w:rsid w:val="00C114EB"/>
    <w:rsid w:val="00C3007B"/>
    <w:rsid w:val="00C35265"/>
    <w:rsid w:val="00C57FAE"/>
    <w:rsid w:val="00C74388"/>
    <w:rsid w:val="00CD687E"/>
    <w:rsid w:val="00CE0A64"/>
    <w:rsid w:val="00D35CC4"/>
    <w:rsid w:val="00D40A11"/>
    <w:rsid w:val="00D44518"/>
    <w:rsid w:val="00D73529"/>
    <w:rsid w:val="00D857C6"/>
    <w:rsid w:val="00DC055D"/>
    <w:rsid w:val="00DD32BE"/>
    <w:rsid w:val="00DE1B18"/>
    <w:rsid w:val="00DF08E0"/>
    <w:rsid w:val="00DF5083"/>
    <w:rsid w:val="00E00982"/>
    <w:rsid w:val="00E1687B"/>
    <w:rsid w:val="00E30789"/>
    <w:rsid w:val="00E334DD"/>
    <w:rsid w:val="00E45437"/>
    <w:rsid w:val="00E6686B"/>
    <w:rsid w:val="00E94DF5"/>
    <w:rsid w:val="00E954AE"/>
    <w:rsid w:val="00EA491B"/>
    <w:rsid w:val="00EB0CF0"/>
    <w:rsid w:val="00ED2093"/>
    <w:rsid w:val="00F06FAE"/>
    <w:rsid w:val="00F30E7E"/>
    <w:rsid w:val="00F94849"/>
    <w:rsid w:val="00FA1522"/>
    <w:rsid w:val="00FB49A4"/>
    <w:rsid w:val="00FE4FCC"/>
    <w:rsid w:val="00FF4897"/>
    <w:rsid w:val="04475069"/>
    <w:rsid w:val="0AD726E6"/>
    <w:rsid w:val="0BC1205C"/>
    <w:rsid w:val="0DBC3A0A"/>
    <w:rsid w:val="13E86147"/>
    <w:rsid w:val="2C154F16"/>
    <w:rsid w:val="2E10412D"/>
    <w:rsid w:val="32AD7097"/>
    <w:rsid w:val="3B8E6DD4"/>
    <w:rsid w:val="3D5B2DD9"/>
    <w:rsid w:val="4AB70D87"/>
    <w:rsid w:val="4F1B137A"/>
    <w:rsid w:val="50346EA9"/>
    <w:rsid w:val="50E17C13"/>
    <w:rsid w:val="5F182098"/>
    <w:rsid w:val="79BD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11"/>
    <w:pPr>
      <w:spacing w:line="312" w:lineRule="auto"/>
      <w:jc w:val="left"/>
      <w:outlineLvl w:val="1"/>
    </w:pPr>
    <w:rPr>
      <w:rFonts w:eastAsia="黑体"/>
      <w:b/>
      <w:bCs/>
      <w:kern w:val="28"/>
      <w:sz w:val="21"/>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5"/>
    <w:semiHidden/>
    <w:unhideWhenUsed/>
    <w:qFormat/>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批注文字 字符"/>
    <w:basedOn w:val="11"/>
    <w:link w:val="2"/>
    <w:semiHidden/>
    <w:qFormat/>
    <w:uiPriority w:val="99"/>
  </w:style>
  <w:style w:type="character" w:customStyle="1" w:styleId="15">
    <w:name w:val="批注主题 字符"/>
    <w:basedOn w:val="14"/>
    <w:link w:val="8"/>
    <w:semiHidden/>
    <w:qFormat/>
    <w:uiPriority w:val="99"/>
    <w:rPr>
      <w:b/>
      <w:bCs/>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字符"/>
    <w:basedOn w:val="11"/>
    <w:link w:val="3"/>
    <w:semiHidden/>
    <w:qFormat/>
    <w:uiPriority w:val="99"/>
    <w:rPr>
      <w:sz w:val="18"/>
      <w:szCs w:val="18"/>
    </w:rPr>
  </w:style>
  <w:style w:type="character" w:customStyle="1" w:styleId="18">
    <w:name w:val="页眉 字符"/>
    <w:basedOn w:val="11"/>
    <w:link w:val="5"/>
    <w:qFormat/>
    <w:uiPriority w:val="99"/>
    <w:rPr>
      <w:sz w:val="18"/>
      <w:szCs w:val="18"/>
    </w:rPr>
  </w:style>
  <w:style w:type="character" w:customStyle="1" w:styleId="19">
    <w:name w:val="页脚 字符"/>
    <w:basedOn w:val="11"/>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1045</Words>
  <Characters>5958</Characters>
  <Lines>49</Lines>
  <Paragraphs>13</Paragraphs>
  <TotalTime>9</TotalTime>
  <ScaleCrop>false</ScaleCrop>
  <LinksUpToDate>false</LinksUpToDate>
  <CharactersWithSpaces>6990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2018-10-06T02:12:00Z</dcterms:created>
  <dc:creator>姚 婉妮</dc:creator>
  <cp:lastModifiedBy>李颖</cp:lastModifiedBy>
  <dcterms:modified xsi:type="dcterms:W3CDTF">2020-06-19T02:36:47Z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